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perl-Image-ExifTool 13.25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2003-2025, Phil Harvey</w:t>
        <w:br/>
        <w:t>Copyright 2003-2025, Phil Harvey</w:t>
        <w:br/>
        <w:t>Copyright 2024, Phil Harvey</w:t>
        <w:br/>
        <w:t>Copyright 2003-2025, Phil Harvey (philharvey66 at gmail.com)</w:t>
        <w:br/>
      </w:r>
    </w:p>
    <w:p>
      <w:pPr>
        <w:spacing w:line="420" w:lineRule="exact"/>
        <w:rPr>
          <w:rFonts w:hint="eastAsia"/>
        </w:rPr>
      </w:pPr>
      <w:r>
        <w:rPr>
          <w:rFonts w:ascii="Arial" w:hAnsi="Arial"/>
          <w:b/>
          <w:sz w:val="24"/>
        </w:rPr>
        <w:t xml:space="preserve">License: </w:t>
      </w:r>
      <w:r>
        <w:rPr>
          <w:rFonts w:ascii="Arial" w:hAnsi="Arial"/>
          <w:sz w:val="21"/>
        </w:rPr>
        <w:t>GPL-1.0-or-later or Artistic-1.0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